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sz w:val="22"/>
          <w:szCs w:val="22"/>
        </w:rPr>
      </w:pPr>
      <w:bookmarkStart w:colFirst="0" w:colLast="0" w:name="_mstoaomcdzkh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From:</w:t>
      </w:r>
      <w:r w:rsidDel="00000000" w:rsidR="00000000" w:rsidRPr="00000000">
        <w:rPr>
          <w:sz w:val="22"/>
          <w:szCs w:val="22"/>
          <w:rtl w:val="0"/>
        </w:rPr>
        <w:t xml:space="preserve"> AIA Small Firm Exchange (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sfx@aia.org</w:t>
        </w:r>
      </w:hyperlink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Subject line</w:t>
      </w:r>
      <w:r w:rsidDel="00000000" w:rsidR="00000000" w:rsidRPr="00000000">
        <w:rPr>
          <w:rtl w:val="0"/>
        </w:rPr>
        <w:t xml:space="preserve">: Firm Ownership and Leadership Pathways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/>
      </w:pPr>
      <w:bookmarkStart w:colFirst="0" w:colLast="0" w:name="_c3373ncgq2h1" w:id="1"/>
      <w:bookmarkEnd w:id="1"/>
      <w:r w:rsidDel="00000000" w:rsidR="00000000" w:rsidRPr="00000000">
        <w:rPr>
          <w:rtl w:val="0"/>
        </w:rPr>
        <w:t xml:space="preserve">Ownership and Leadership Transition: Pathways to Success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How do firms succeed in transitioning ownership and leadership? What options are available to a firm founder who is approaching retirement? How can successors truly leverage the knowledge and connections of the founder?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Join the AIA Small Firm Exchange as we explore these questions and others with scenarios that illustrate the key qualities of different pathways to successful transitions.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Along with a case study illustration, this live course will include commentary by a founder who is currently in the ownership transition process as well as ample Q&amp;A time.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Tuesday, September 21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4–5pm ET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Cost: $</w:t>
      </w:r>
      <w:r w:rsidDel="00000000" w:rsidR="00000000" w:rsidRPr="00000000">
        <w:rPr>
          <w:sz w:val="24"/>
          <w:szCs w:val="24"/>
          <w:rtl w:val="0"/>
        </w:rPr>
        <w:t xml:space="preserve">25 member/$40 non-member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Earn: 1 AIA LU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Register now &gt;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spacing w:line="240" w:lineRule="auto"/>
        <w:rPr/>
      </w:pPr>
      <w:bookmarkStart w:colFirst="0" w:colLast="0" w:name="_673bdy11wurc" w:id="2"/>
      <w:bookmarkEnd w:id="2"/>
      <w:r w:rsidDel="00000000" w:rsidR="00000000" w:rsidRPr="00000000">
        <w:rPr>
          <w:rtl w:val="0"/>
        </w:rPr>
        <w:t xml:space="preserve">More from SFx</w:t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AIA Best Practice: Pathways to Firm Ownership and Leadership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Michael Strogoff, FAIA, discusses the</w:t>
      </w:r>
      <w:r w:rsidDel="00000000" w:rsidR="00000000" w:rsidRPr="00000000">
        <w:rPr>
          <w:shd w:fill="efefef" w:val="clear"/>
          <w:rtl w:val="0"/>
        </w:rPr>
        <w:t xml:space="preserve"> primary issues in architecture firms related to ownership models, leadership succession, and leadership development in this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Best Practice on ownership transition</w:t>
        </w:r>
      </w:hyperlink>
      <w:r w:rsidDel="00000000" w:rsidR="00000000" w:rsidRPr="00000000">
        <w:rPr>
          <w:shd w:fill="efefef" w:val="clear"/>
          <w:rtl w:val="0"/>
        </w:rPr>
        <w:t xml:space="preserve"> (</w:t>
      </w:r>
      <w:r w:rsidDel="00000000" w:rsidR="00000000" w:rsidRPr="00000000">
        <w:rPr>
          <w:rtl w:val="0"/>
        </w:rPr>
        <w:t xml:space="preserve">member login required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shd w:fill="efefef" w:val="clear"/>
          <w:rtl w:val="0"/>
        </w:rPr>
        <w:t xml:space="preserve">. Learn how younger architects can take steps to becoming a leader within a firm and how emerging professionals make decisions regarding becoming an owner, a leader, or both. You can also </w:t>
      </w:r>
      <w:r w:rsidDel="00000000" w:rsidR="00000000" w:rsidRPr="00000000">
        <w:rPr>
          <w:rtl w:val="0"/>
        </w:rPr>
        <w:t xml:space="preserve">search the entire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Best Practice library</w:t>
        </w:r>
      </w:hyperlink>
      <w:r w:rsidDel="00000000" w:rsidR="00000000" w:rsidRPr="00000000">
        <w:rPr>
          <w:rtl w:val="0"/>
        </w:rPr>
        <w:t xml:space="preserve"> on aia.org.</w:t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Management Basics for Small Firms: How to Improve Profitability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On-demand course | 1 AIA LU | $25 member/$40 non-member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In this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on-demand course</w:t>
        </w:r>
      </w:hyperlink>
      <w:r w:rsidDel="00000000" w:rsidR="00000000" w:rsidRPr="00000000">
        <w:rPr>
          <w:rtl w:val="0"/>
        </w:rPr>
        <w:t xml:space="preserve">, Rena Klein, FAIA, details four essential actions necessary to becoming more profitable: controlling scope creep, improving work processes, balancing staff skill with work types, and charging higher fees. Small firm owner, Chris Schmitt, AIA, provides real-time commentary on what this looks like in daily practice. Also, check out the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Small Firm Series</w:t>
        </w:r>
      </w:hyperlink>
      <w:r w:rsidDel="00000000" w:rsidR="00000000" w:rsidRPr="00000000">
        <w:rPr>
          <w:rtl w:val="0"/>
        </w:rPr>
        <w:t xml:space="preserve"> on AIAU </w:t>
      </w:r>
      <w:r w:rsidDel="00000000" w:rsidR="00000000" w:rsidRPr="00000000">
        <w:rPr>
          <w:rFonts w:ascii="Roboto" w:cs="Roboto" w:eastAsia="Roboto" w:hAnsi="Roboto"/>
          <w:color w:val="2a2a2a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providing actionable tools, resources, and knowledge to grow your small firm into the prosperous business you envision.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Become an SFx State Representative or Board Member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The Small Firm Exchange’s annual call for board members is open until October 31. We are looking for volunteers who want to be a catalyst for change and make a positive impact on the architecture profession. The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SFx board</w:t>
        </w:r>
      </w:hyperlink>
      <w:r w:rsidDel="00000000" w:rsidR="00000000" w:rsidRPr="00000000">
        <w:rPr>
          <w:rtl w:val="0"/>
        </w:rPr>
        <w:t xml:space="preserve"> is a great opportunity to network with peers, share resources, and advocate for small firms on a national platform. Interested?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Apply now</w:t>
        </w:r>
      </w:hyperlink>
      <w:r w:rsidDel="00000000" w:rsidR="00000000" w:rsidRPr="00000000">
        <w:rPr>
          <w:rtl w:val="0"/>
        </w:rPr>
        <w:t xml:space="preserve"> &gt; 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Given the dissolution of AIA regions, we are also developing a network of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state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representatives</w:t>
        </w:r>
      </w:hyperlink>
      <w:r w:rsidDel="00000000" w:rsidR="00000000" w:rsidRPr="00000000">
        <w:rPr>
          <w:rtl w:val="0"/>
        </w:rPr>
        <w:t xml:space="preserve"> to serve as liaisons </w:t>
      </w:r>
      <w:r w:rsidDel="00000000" w:rsidR="00000000" w:rsidRPr="00000000">
        <w:rPr>
          <w:rFonts w:ascii="Roboto" w:cs="Roboto" w:eastAsia="Roboto" w:hAnsi="Roboto"/>
          <w:color w:val="2a2a2a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delivering small firm resources to your state and local chapters and sharing your state’s small firm concerns with the national organization. </w:t>
      </w:r>
      <w:r w:rsidDel="00000000" w:rsidR="00000000" w:rsidRPr="00000000">
        <w:rPr>
          <w:rtl w:val="0"/>
        </w:rPr>
        <w:t xml:space="preserve">Are you a connector?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Apply today</w:t>
        </w:r>
      </w:hyperlink>
      <w:r w:rsidDel="00000000" w:rsidR="00000000" w:rsidRPr="00000000">
        <w:rPr>
          <w:rtl w:val="0"/>
        </w:rPr>
        <w:t xml:space="preserve">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Our 1000+ Instagram followers want to see your project work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SFx uses its social media accounts to </w:t>
      </w:r>
      <w:r w:rsidDel="00000000" w:rsidR="00000000" w:rsidRPr="00000000">
        <w:rPr>
          <w:rtl w:val="0"/>
        </w:rPr>
        <w:t xml:space="preserve">highlight the great work</w:t>
      </w:r>
      <w:r w:rsidDel="00000000" w:rsidR="00000000" w:rsidRPr="00000000">
        <w:rPr>
          <w:rtl w:val="0"/>
        </w:rPr>
        <w:t xml:space="preserve"> we witness everyday from small firm practitioners around the country.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Submit today</w:t>
        </w:r>
      </w:hyperlink>
      <w:r w:rsidDel="00000000" w:rsidR="00000000" w:rsidRPr="00000000">
        <w:rPr>
          <w:rtl w:val="0"/>
        </w:rPr>
        <w:t xml:space="preserve">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pageBreakBefore w:val="0"/>
        <w:spacing w:line="240" w:lineRule="auto"/>
        <w:rPr>
          <w:b w:val="1"/>
        </w:rPr>
      </w:pPr>
      <w:bookmarkStart w:colFirst="0" w:colLast="0" w:name="_779e8q4z7bv2" w:id="3"/>
      <w:bookmarkEnd w:id="3"/>
      <w:r w:rsidDel="00000000" w:rsidR="00000000" w:rsidRPr="00000000">
        <w:rPr>
          <w:b w:val="1"/>
          <w:rtl w:val="0"/>
        </w:rPr>
        <w:t xml:space="preserve">Connect with SFx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Visit our website &gt;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us on social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Facebook 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Instagram 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Twitter 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aia_sfx/" TargetMode="External"/><Relationship Id="rId11" Type="http://schemas.openxmlformats.org/officeDocument/2006/relationships/hyperlink" Target="https://aiau.aia.org/small-firm-series" TargetMode="External"/><Relationship Id="rId10" Type="http://schemas.openxmlformats.org/officeDocument/2006/relationships/hyperlink" Target="https://aiau.aia.org/courses/financial-management-basics-small-firms-how-improve-profitability" TargetMode="External"/><Relationship Id="rId21" Type="http://schemas.openxmlformats.org/officeDocument/2006/relationships/hyperlink" Target="https://twitter.com/aiasfx" TargetMode="External"/><Relationship Id="rId13" Type="http://schemas.openxmlformats.org/officeDocument/2006/relationships/hyperlink" Target="https://docs.google.com/forms/d/e/1FAIpQLSc8GWsybjGgnXw5XUuRT5QP69dOgQWMsJLDNkki3EhM9DRaFg/viewform" TargetMode="External"/><Relationship Id="rId12" Type="http://schemas.openxmlformats.org/officeDocument/2006/relationships/hyperlink" Target="https://network.aia.org/blogs/matthew-r-clapper-aia1/2021/04/28/current-sfx-board?CommunityKey=5dccd29e-2089-48ae-8452-471d5068b76d&amp;tab=recentcommunityblogsdashboar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ia.org/best-practices?query=" TargetMode="External"/><Relationship Id="rId15" Type="http://schemas.openxmlformats.org/officeDocument/2006/relationships/hyperlink" Target="https://network.aia.org/blogs/matthew-r-clapper-aia1/2021/04/28/current-sfx-state-representatives?CommunityKey=5dccd29e-2089-48ae-8452-471d5068b76d" TargetMode="External"/><Relationship Id="rId14" Type="http://schemas.openxmlformats.org/officeDocument/2006/relationships/hyperlink" Target="https://network.aia.org/blogs/matthew-r-clapper-aia1/2021/04/28/current-sfx-state-representatives?CommunityKey=5dccd29e-2089-48ae-8452-471d5068b76d" TargetMode="External"/><Relationship Id="rId17" Type="http://schemas.openxmlformats.org/officeDocument/2006/relationships/hyperlink" Target="https://docs.google.com/forms/d/e/1FAIpQLSdDrJf19GdwfSRqb04kGZAjBcZ8Qm1B4K02BI0F0HMH1ok-tQ/viewform" TargetMode="External"/><Relationship Id="rId16" Type="http://schemas.openxmlformats.org/officeDocument/2006/relationships/hyperlink" Target="https://docs.google.com/forms/d/e/1FAIpQLSdhiMCQdshhvrGSYHWYqRNAWGG63STCyX_3COCeVuM6zOv0YQ/viewform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acebook.com/AIASFx" TargetMode="External"/><Relationship Id="rId6" Type="http://schemas.openxmlformats.org/officeDocument/2006/relationships/hyperlink" Target="mailto:sfx@aia.org" TargetMode="External"/><Relationship Id="rId18" Type="http://schemas.openxmlformats.org/officeDocument/2006/relationships/hyperlink" Target="https://network.aia.org/communities/community-home?communitykey=5dccd29e-2089-48ae-8452-471d5068b76d&amp;tab=groupdetails" TargetMode="External"/><Relationship Id="rId7" Type="http://schemas.openxmlformats.org/officeDocument/2006/relationships/hyperlink" Target="https://aiau.aia.org/courses/ownership-and-leadership-transition-pathways-success" TargetMode="External"/><Relationship Id="rId8" Type="http://schemas.openxmlformats.org/officeDocument/2006/relationships/hyperlink" Target="https://www.aia.org/best-practices/6419988-pathways-to-firm-ownership-and-leadershi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